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CEF1" w14:textId="77777777" w:rsidR="00C66092" w:rsidRPr="00C66092" w:rsidRDefault="00C66092" w:rsidP="00C66092">
      <w:pPr>
        <w:jc w:val="center"/>
        <w:rPr>
          <w:rFonts w:ascii="TH SarabunPSK" w:eastAsia="Calibri" w:hAnsi="TH SarabunPSK" w:cs="TH SarabunPSK"/>
          <w:b/>
          <w:bCs/>
          <w:kern w:val="0"/>
          <w:sz w:val="36"/>
          <w:szCs w:val="36"/>
          <w14:ligatures w14:val="none"/>
        </w:rPr>
      </w:pPr>
      <w:r w:rsidRPr="00C66092">
        <w:rPr>
          <w:rFonts w:ascii="TH SarabunPSK" w:eastAsia="Calibri" w:hAnsi="TH SarabunPSK" w:cs="TH SarabunPSK"/>
          <w:b/>
          <w:bCs/>
          <w:kern w:val="0"/>
          <w:sz w:val="36"/>
          <w:szCs w:val="36"/>
          <w:cs/>
          <w14:ligatures w14:val="none"/>
        </w:rPr>
        <w:t>วิจัยชี้คนไทยอ้วนเพิ่ม-ป่วยไม่รู้ตัว สำรวจโภชนาการป้องโรค</w:t>
      </w:r>
    </w:p>
    <w:p w14:paraId="3BC9C9F2" w14:textId="77777777" w:rsidR="00C66092" w:rsidRPr="00C66092" w:rsidRDefault="00C66092" w:rsidP="00C66092">
      <w:pPr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28"/>
          <w:cs/>
          <w14:ligatures w14:val="none"/>
        </w:rPr>
        <w:tab/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นพ. วิชัย  เอกพลากร คณะแพทยศาสตร์ รพ. รามาธิบดี ในฐานะนักวิจัยโครงการสำรวจสุขภาพประชาชนไทย สำนักงานวิจัยระบบสาธารณสุข (</w:t>
      </w:r>
      <w:proofErr w:type="spellStart"/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สวร</w:t>
      </w:r>
      <w:proofErr w:type="spellEnd"/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ส.) กระทรวงสาธารณสุข กล่าวว่า </w:t>
      </w:r>
      <w:proofErr w:type="spellStart"/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สวร</w:t>
      </w:r>
      <w:proofErr w:type="spellEnd"/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ส. ร่วมกับสำนักงานสถิติแห่งชาติ และสำนักงานกองทุนสนับสนุนการสร้างเสริมสุขภาพ (สสส.) จะทำโครงการสำรวจสุขภาพคนไทย ครั้งที่ 5 เดือน ต.ค. 2556-พ.ย. 2557 เพื่อสำรวจสถานการณ์สุขภาพและปัจจัยเสี่ยง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 xml:space="preserve">ทางสุขภาพคนไทย โดยสุ่มสำรวจประชาชน อายุ 1-60 ปี 32,400 คน จาก 21 จังหวัด ทุกภูมิภาค โดยใช้วิธีการเก็บข้อมูลจากการสัมภาษณ์ และตรวจสุขภาพจาก รพ. อาทิ ตรวจเลือด ปัสสาวะ ทางห้องปฏิบัติการ ซึ่งจะแบ่งเป็น รพ. รามาธิบดี เก็บข้อมูลใน กทม. ม.เชียงใหม่ เก็บในภาคเหนือ จุฬาลงกรณ์มหาวิทยาลัย 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เก็บในภาคกลาง ม.ขอนแก่น เก็บในภาคอีสาน และ ม.สงขลานครินทร์ เก็บในภาคใต้ เพื่อวางแผนกำหนดนโยบายสาธารณสุข และส่งเสริมการป้องกันโรค</w:t>
      </w:r>
    </w:p>
    <w:p w14:paraId="47550CF3" w14:textId="77777777" w:rsidR="00C66092" w:rsidRPr="00C66092" w:rsidRDefault="00C66092" w:rsidP="00C66092">
      <w:pPr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 xml:space="preserve">นพ.สุวัฒน์  จริยาเลิศศักดิ์ ผอ.สถาบันวิจัยวิทยาศาสตร์สุขภาพ กล่าวว่า การสำรวจจำแนกตามช่วงอายุ แบ่งเป็น 5 ช่วงอายุ คือ 1. อายุ 1-5 ขวบ ทดสอบพัฒนาการ ตรวจปัสสาวะ และดูปริมาณไอโอดีน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  <w:t>เป็นต้น    2. อายุ 6-9 ขวบ ทดสอบพัฒนาการตรวจปัสสาวะ เป็นต้น 3. อายุ 10-19 ปี วัดความดันโลหิต ระดับน้ำตาลในเลือด ไขมันในเลือด การทำงานของไต  4. อายุ 20-59 ปี และ 5. อายุ 60 ปี ขึ้นไป วัดระดับน้ำตาลในเลือด ไขมันในเลือด ภาวะเลือดจาง เป็นต้น แต่ในทุกช่วงอายุจะเน้นการสำรวจโภชนาการว่ามีการบริโภคเหมาะสมหรือไม่</w:t>
      </w:r>
    </w:p>
    <w:p w14:paraId="24DE9D6C" w14:textId="77777777" w:rsidR="00C66092" w:rsidRPr="00C66092" w:rsidRDefault="00C66092" w:rsidP="00C66092">
      <w:pPr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“การสำรวจครั้งที่ 4 พบว่าคนไทยกินผักประมาณร้อยละ 18 เท่านั้น และทั้งเพศชาย-หญิง มีเส้นรอบเอวและค่าดัชนีมวลกายเกินค่ามาตรฐาน กลุ่มตัวอย่างส่วนใหญ่ไม่รู้ว่าตัวเองเป็นโรคเบาหวาน ความดันโลหิตสูง และคอเลสเตอรอลมาก่อน ถือเป็นโอกาสที่กลุ่มตัวอย่างที่รับการตรวจสุขภาพจะได้ทราบข้อมูลสุขภาพตัวเอง คาดว่าใช้เวลาประมาณ 6 เดือนในการเก็บวิเคราะห์ข้อมูล” นพ. สุวัฒน์กล่าว</w:t>
      </w:r>
    </w:p>
    <w:p w14:paraId="2F51865E" w14:textId="279B8AA2" w:rsidR="00C66092" w:rsidRPr="00C66092" w:rsidRDefault="00C66092" w:rsidP="00C66092">
      <w:pPr>
        <w:jc w:val="thaiDistribute"/>
        <w:rPr>
          <w:rFonts w:ascii="TH SarabunPSK" w:eastAsia="Calibri" w:hAnsi="TH SarabunPSK" w:cs="TH SarabunPSK" w:hint="cs"/>
          <w:kern w:val="0"/>
          <w:sz w:val="36"/>
          <w:szCs w:val="36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ที่มา : </w:t>
      </w:r>
      <w:hyperlink r:id="rId5" w:history="1">
        <w:r w:rsidRPr="00C66092">
          <w:rPr>
            <w:rFonts w:ascii="TH SarabunPSK" w:eastAsia="Calibri" w:hAnsi="TH SarabunPSK" w:cs="TH SarabunPSK"/>
            <w:kern w:val="0"/>
            <w:sz w:val="32"/>
            <w:szCs w:val="32"/>
            <w14:ligatures w14:val="none"/>
          </w:rPr>
          <w:t>http://med.mahidol.ac.th/th/news/medical/</w:t>
        </w:r>
        <w:r w:rsidRPr="00C66092">
          <w:rPr>
            <w:rFonts w:ascii="TH SarabunPSK" w:eastAsia="Calibri" w:hAnsi="TH SarabunPSK" w:cs="TH SarabunPSK"/>
            <w:kern w:val="0"/>
            <w:sz w:val="32"/>
            <w:szCs w:val="32"/>
            <w:cs/>
            <w14:ligatures w14:val="none"/>
          </w:rPr>
          <w:t>12272013-1611-</w:t>
        </w:r>
        <w:proofErr w:type="spellStart"/>
        <w:r w:rsidRPr="00C66092">
          <w:rPr>
            <w:rFonts w:ascii="TH SarabunPSK" w:eastAsia="Calibri" w:hAnsi="TH SarabunPSK" w:cs="TH SarabunPSK"/>
            <w:kern w:val="0"/>
            <w:sz w:val="32"/>
            <w:szCs w:val="32"/>
            <w14:ligatures w14:val="none"/>
          </w:rPr>
          <w:t>th</w:t>
        </w:r>
        <w:proofErr w:type="spellEnd"/>
      </w:hyperlink>
    </w:p>
    <w:p w14:paraId="659C84E2" w14:textId="77777777" w:rsidR="00C66092" w:rsidRPr="00C66092" w:rsidRDefault="00C66092" w:rsidP="00C66092">
      <w:pP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คำถามที่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แบบเลือกตอบ (อย่างน้อย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คำถาม)</w:t>
      </w:r>
    </w:p>
    <w:p w14:paraId="40A2CFE8" w14:textId="77777777" w:rsidR="00C66092" w:rsidRPr="00C66092" w:rsidRDefault="00C66092" w:rsidP="00C66092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คำถาม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องค์กรใดต่อไปนี้ ไม่ได้มีส่วนร่วมในงานวิจัยนี้</w:t>
      </w:r>
    </w:p>
    <w:p w14:paraId="410ED025" w14:textId="77777777" w:rsidR="00C66092" w:rsidRPr="00C66092" w:rsidRDefault="00C66092" w:rsidP="00C66092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1.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สำนักงานสถิติแห่งชาติ (สสช.)</w:t>
      </w:r>
    </w:p>
    <w:p w14:paraId="7054059D" w14:textId="77777777" w:rsidR="00C66092" w:rsidRPr="00C66092" w:rsidRDefault="00C66092" w:rsidP="00C66092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2.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สำนักงานกองทุนสนับสนุนการสร้างเสริมสุขภาพ (สสส.)</w:t>
      </w:r>
    </w:p>
    <w:p w14:paraId="626840A2" w14:textId="77777777" w:rsidR="00C66092" w:rsidRPr="00C66092" w:rsidRDefault="00C66092" w:rsidP="00C66092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3.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สำนักงานวิจัยระบบสาธารณสุข (</w:t>
      </w:r>
      <w:proofErr w:type="spellStart"/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สวร</w:t>
      </w:r>
      <w:proofErr w:type="spellEnd"/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ส.)</w:t>
      </w:r>
    </w:p>
    <w:p w14:paraId="54847692" w14:textId="77777777" w:rsidR="00C66092" w:rsidRPr="00C66092" w:rsidRDefault="00C66092" w:rsidP="00C66092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4.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สำนักงานประกันสังคม (</w:t>
      </w:r>
      <w:proofErr w:type="spellStart"/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สป</w:t>
      </w:r>
      <w:proofErr w:type="spellEnd"/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ส.)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78C59235" w14:textId="77777777" w:rsidR="00C66092" w:rsidRPr="00C66092" w:rsidRDefault="00C66092" w:rsidP="00C66092">
      <w:pPr>
        <w:spacing w:after="0" w:line="240" w:lineRule="auto"/>
        <w:ind w:left="36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เฉลย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/แนวคำตอบ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คำตอบที่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4. </w:t>
      </w:r>
      <w:r w:rsidRPr="00C66092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สำนักงานประกันสังคม (</w:t>
      </w:r>
      <w:proofErr w:type="spellStart"/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สป</w:t>
      </w:r>
      <w:proofErr w:type="spellEnd"/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ส.)</w:t>
      </w:r>
      <w:r w:rsidRPr="00C66092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</w:p>
    <w:p w14:paraId="4E86ECEB" w14:textId="77777777" w:rsidR="00C66092" w:rsidRPr="00C66092" w:rsidRDefault="00C66092" w:rsidP="00C66092">
      <w:pPr>
        <w:spacing w:after="0" w:line="240" w:lineRule="auto"/>
        <w:ind w:left="36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lastRenderedPageBreak/>
        <w:t>กระบวนการอ่าน: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293BE257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7966FDD1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เนื้อเรื่องเดียว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 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7F242F70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แบบต่อเนื่อง</w:t>
      </w:r>
    </w:p>
    <w:p w14:paraId="2A3CC6E9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 </w:t>
      </w:r>
    </w:p>
    <w:p w14:paraId="78A7AFC8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แบบเลือกตอบ</w:t>
      </w:r>
    </w:p>
    <w:p w14:paraId="540F9560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ท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1.1,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ม.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1/2: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74E25851" w14:textId="77777777" w:rsidR="00C66092" w:rsidRPr="00C66092" w:rsidRDefault="00C66092" w:rsidP="00C66092">
      <w:pPr>
        <w:ind w:left="360"/>
        <w:rPr>
          <w:rFonts w:ascii="TH SarabunPSK" w:eastAsia="Calibri" w:hAnsi="TH SarabunPSK" w:cs="TH SarabunPSK"/>
          <w:kern w:val="0"/>
          <w:sz w:val="12"/>
          <w:szCs w:val="12"/>
          <w14:ligatures w14:val="none"/>
        </w:rPr>
      </w:pPr>
    </w:p>
    <w:p w14:paraId="2A631077" w14:textId="77777777" w:rsidR="00C66092" w:rsidRPr="00C66092" w:rsidRDefault="00C66092" w:rsidP="00C66092">
      <w:pP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คำถามที่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2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แบบเลือกตอบเชิงซ้อน (อย่างน้อย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คำถาม)</w:t>
      </w:r>
    </w:p>
    <w:p w14:paraId="357B7495" w14:textId="77777777" w:rsidR="00C66092" w:rsidRPr="00C66092" w:rsidRDefault="00C66092" w:rsidP="00C66092">
      <w:pPr>
        <w:tabs>
          <w:tab w:val="left" w:pos="2430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คำถาม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โปรดพิจารณาข้อความด้านล่างต่อไปนี้ว่า ข้อความใดสนับสนุนหรือขัดแย้งกับงานวิจัยข้างต้น</w:t>
      </w:r>
    </w:p>
    <w:p w14:paraId="5C343951" w14:textId="77777777" w:rsidR="00C66092" w:rsidRPr="00C66092" w:rsidRDefault="00C66092" w:rsidP="00C66092">
      <w:pPr>
        <w:tabs>
          <w:tab w:val="left" w:pos="2430"/>
        </w:tabs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โดยทำเครื่องหมายวงกลมล้อมรอบคำตอบ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ดังตัวอย่าง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495"/>
        <w:gridCol w:w="3685"/>
      </w:tblGrid>
      <w:tr w:rsidR="00C66092" w:rsidRPr="00C66092" w14:paraId="759182BB" w14:textId="77777777" w:rsidTr="00876969">
        <w:tc>
          <w:tcPr>
            <w:tcW w:w="5495" w:type="dxa"/>
          </w:tcPr>
          <w:p w14:paraId="5A87B350" w14:textId="77777777" w:rsidR="00C66092" w:rsidRPr="00C66092" w:rsidRDefault="00C66092" w:rsidP="00C6609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660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685" w:type="dxa"/>
          </w:tcPr>
          <w:p w14:paraId="22F6EA91" w14:textId="77777777" w:rsidR="00C66092" w:rsidRPr="00C66092" w:rsidRDefault="00C66092" w:rsidP="00C6609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660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สนับสนุน/ขัดแย้ง</w:t>
            </w:r>
          </w:p>
        </w:tc>
      </w:tr>
      <w:tr w:rsidR="00C66092" w:rsidRPr="00C66092" w14:paraId="6A29E7EA" w14:textId="77777777" w:rsidTr="00876969">
        <w:trPr>
          <w:trHeight w:val="851"/>
        </w:trPr>
        <w:tc>
          <w:tcPr>
            <w:tcW w:w="5495" w:type="dxa"/>
          </w:tcPr>
          <w:p w14:paraId="6A5139C4" w14:textId="77777777" w:rsidR="00C66092" w:rsidRPr="00C66092" w:rsidRDefault="00C66092" w:rsidP="00C660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660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การบริโภคอาหารไม่ส่งผลใด ๆ ต่อสุขภาพ</w:t>
            </w:r>
            <w:r w:rsidRPr="00C660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921FB87" w14:textId="77777777" w:rsidR="00C66092" w:rsidRPr="00C66092" w:rsidRDefault="00C66092" w:rsidP="00C660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660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คนไทยควรบริโภคผักมากขึ้น</w:t>
            </w:r>
          </w:p>
          <w:p w14:paraId="37BB5664" w14:textId="77777777" w:rsidR="00C66092" w:rsidRPr="00C66092" w:rsidRDefault="00C66092" w:rsidP="00C660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660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การตรวจสุขภาพช่วยลดความเสี่ยงในการเกิดโรค</w:t>
            </w:r>
          </w:p>
          <w:p w14:paraId="28EE06D5" w14:textId="77777777" w:rsidR="00C66092" w:rsidRPr="00C66092" w:rsidRDefault="00C66092" w:rsidP="00C660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660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โรคอ้วนสามารถเป็นได้ทุกช่วงวัย</w:t>
            </w:r>
          </w:p>
          <w:p w14:paraId="4E88DE50" w14:textId="77777777" w:rsidR="00C66092" w:rsidRPr="00C66092" w:rsidRDefault="00C66092" w:rsidP="00C6609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660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การบริโภคที่เหมาะสมทำให้สุขภาพดี</w:t>
            </w:r>
          </w:p>
        </w:tc>
        <w:tc>
          <w:tcPr>
            <w:tcW w:w="3685" w:type="dxa"/>
          </w:tcPr>
          <w:p w14:paraId="73C58118" w14:textId="77777777" w:rsidR="00C66092" w:rsidRPr="00C66092" w:rsidRDefault="00C66092" w:rsidP="00C66092">
            <w:pPr>
              <w:numPr>
                <w:ilvl w:val="0"/>
                <w:numId w:val="2"/>
              </w:numPr>
              <w:ind w:left="318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660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      /     ขัดแย้ง</w:t>
            </w:r>
          </w:p>
          <w:p w14:paraId="7AF67458" w14:textId="77777777" w:rsidR="00C66092" w:rsidRPr="00C66092" w:rsidRDefault="00C66092" w:rsidP="00C66092">
            <w:pPr>
              <w:numPr>
                <w:ilvl w:val="0"/>
                <w:numId w:val="2"/>
              </w:numPr>
              <w:ind w:left="318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660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      /     ขัดแย้ง</w:t>
            </w:r>
          </w:p>
          <w:p w14:paraId="5BDA5345" w14:textId="77777777" w:rsidR="00C66092" w:rsidRPr="00C66092" w:rsidRDefault="00C66092" w:rsidP="00C66092">
            <w:pPr>
              <w:numPr>
                <w:ilvl w:val="0"/>
                <w:numId w:val="2"/>
              </w:numPr>
              <w:ind w:left="318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660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      /     ขัดแย้ง</w:t>
            </w:r>
          </w:p>
          <w:p w14:paraId="61B96F48" w14:textId="77777777" w:rsidR="00C66092" w:rsidRPr="00C66092" w:rsidRDefault="00C66092" w:rsidP="00C66092">
            <w:pPr>
              <w:numPr>
                <w:ilvl w:val="0"/>
                <w:numId w:val="2"/>
              </w:numPr>
              <w:ind w:left="318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660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      /     ขัดแย้ง</w:t>
            </w:r>
          </w:p>
          <w:p w14:paraId="21EF089B" w14:textId="77777777" w:rsidR="00C66092" w:rsidRPr="00C66092" w:rsidRDefault="00C66092" w:rsidP="00C66092">
            <w:pPr>
              <w:numPr>
                <w:ilvl w:val="0"/>
                <w:numId w:val="2"/>
              </w:numPr>
              <w:ind w:left="318" w:hanging="284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660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      /     ขัดแย้ง</w:t>
            </w:r>
          </w:p>
        </w:tc>
      </w:tr>
    </w:tbl>
    <w:p w14:paraId="64B2F265" w14:textId="77777777" w:rsidR="00C66092" w:rsidRPr="00C66092" w:rsidRDefault="00C66092" w:rsidP="00C66092">
      <w:pPr>
        <w:ind w:firstLine="72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คำตอบ </w:t>
      </w:r>
      <w:r w:rsidRPr="00C66092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ก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. </w:t>
      </w:r>
      <w:r w:rsidRPr="00C66092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ขัดแย้ง  ข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-</w:t>
      </w:r>
      <w:r w:rsidRPr="00C66092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จ สนับสนุน</w:t>
      </w:r>
    </w:p>
    <w:p w14:paraId="4009E63B" w14:textId="77777777" w:rsidR="00C66092" w:rsidRPr="00C66092" w:rsidRDefault="00C66092" w:rsidP="00C66092">
      <w:pPr>
        <w:spacing w:after="0" w:line="240" w:lineRule="auto"/>
        <w:ind w:left="36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เฉลย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/แนวคำตอบ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คำตอบที่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</w:p>
    <w:p w14:paraId="56D24198" w14:textId="77777777" w:rsidR="00C66092" w:rsidRPr="00C66092" w:rsidRDefault="00C66092" w:rsidP="00C66092">
      <w:pPr>
        <w:spacing w:after="0" w:line="240" w:lineRule="auto"/>
        <w:ind w:left="36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กระบวนการอ่าน: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5B2B4E17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275FBB72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เนื้อเรื่องเดียว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 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1EA6DE41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แบบต่อเนื่อง</w:t>
      </w:r>
    </w:p>
    <w:p w14:paraId="02A9354A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 </w:t>
      </w:r>
    </w:p>
    <w:p w14:paraId="306E0AE9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แบบเลือกตอบ</w:t>
      </w:r>
      <w:r w:rsidRPr="00C6609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เชิงซ้อน</w:t>
      </w:r>
    </w:p>
    <w:p w14:paraId="08A55AE0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ท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1.1,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ม.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1/2: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4A9BFFC4" w14:textId="77777777" w:rsidR="00C66092" w:rsidRDefault="00C66092" w:rsidP="00C66092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CF56286" w14:textId="77777777" w:rsidR="00C66092" w:rsidRDefault="00C66092" w:rsidP="00C66092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1ADB71B" w14:textId="77777777" w:rsidR="00C66092" w:rsidRDefault="00C66092" w:rsidP="00C66092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93A3AD8" w14:textId="77777777" w:rsidR="00C66092" w:rsidRPr="00C66092" w:rsidRDefault="00C66092" w:rsidP="00C66092">
      <w:pP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</w:pPr>
    </w:p>
    <w:p w14:paraId="5DAFEB7A" w14:textId="77777777" w:rsidR="00C66092" w:rsidRPr="00C66092" w:rsidRDefault="00C66092" w:rsidP="00C66092">
      <w:pP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 xml:space="preserve">คำถามที่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3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แบบเติมคำตอบแบบปิด (อย่างน้อย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คำถาม)</w:t>
      </w:r>
    </w:p>
    <w:p w14:paraId="40E98907" w14:textId="77777777" w:rsidR="00C66092" w:rsidRPr="00C66092" w:rsidRDefault="00C66092" w:rsidP="00C66092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จากหัวข้อข่าวที่ว่า 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“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วิจัยชี้คนไทยอ้วนเพิ่ม-ป่วยไม่รู้ตัว สำรวจโภชนาการป้องโรค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”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สิ่งใดในงานวิจัยนี้เป็นตัวบ่งชี้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ในประเด็นนี้</w:t>
      </w:r>
    </w:p>
    <w:p w14:paraId="5A3AA5FC" w14:textId="77777777" w:rsidR="00C66092" w:rsidRPr="00C66092" w:rsidRDefault="00C66092" w:rsidP="00C66092">
      <w:pPr>
        <w:spacing w:after="0"/>
        <w:ind w:firstLine="720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คำตอบ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มีเส้นรอบเอวและดัชนีมวลกายเกินมาตรฐาน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/</w:t>
      </w:r>
      <w:r w:rsidRPr="00C66092">
        <w:rPr>
          <w:rFonts w:ascii="Calibri" w:eastAsia="Calibri" w:hAnsi="Calibri" w:cs="Cordia New"/>
          <w:color w:val="FF0000"/>
          <w:kern w:val="0"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ขนาดเอวใหญ่และดัชนีมวลกายมากเกินเกณฑ์กำหนด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/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ab/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ความยาวรอบเอวใหญ่และดัชนีมวลกายสูงกว่าที่กำหนด</w:t>
      </w:r>
    </w:p>
    <w:p w14:paraId="16FEA996" w14:textId="77777777" w:rsidR="00C66092" w:rsidRPr="00C66092" w:rsidRDefault="00C66092" w:rsidP="00C66092">
      <w:pPr>
        <w:spacing w:after="0" w:line="240" w:lineRule="auto"/>
        <w:ind w:left="360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เฉลย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/แนวคำตอบ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คำตอบที่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</w:p>
    <w:p w14:paraId="42BCAEB1" w14:textId="77777777" w:rsidR="00C66092" w:rsidRPr="00C66092" w:rsidRDefault="00C66092" w:rsidP="00C66092">
      <w:pPr>
        <w:spacing w:after="0" w:line="240" w:lineRule="auto"/>
        <w:ind w:left="36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กระบวนการอ่าน: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5B8695EA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55321523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เนื้อเรื่องเดียว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 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7D61C577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แบบต่อเนื่อง</w:t>
      </w:r>
    </w:p>
    <w:p w14:paraId="2AE159B2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 </w:t>
      </w:r>
    </w:p>
    <w:p w14:paraId="223AD80F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ลักษณะข้อสอบ: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เติมคำ</w:t>
      </w:r>
      <w:r w:rsidRPr="00C66092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ตอบ</w:t>
      </w:r>
    </w:p>
    <w:p w14:paraId="467F7B7C" w14:textId="77777777" w:rsidR="00C66092" w:rsidRPr="00C66092" w:rsidRDefault="00C66092" w:rsidP="00C66092">
      <w:pPr>
        <w:ind w:firstLine="360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 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1.1,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ม.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1/2: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23B11B31" w14:textId="77777777" w:rsidR="00C66092" w:rsidRPr="00C66092" w:rsidRDefault="00C66092" w:rsidP="00C66092">
      <w:pPr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คำถามที่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4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แบบเติมคำตอบแบบเปิด (อย่างน้อย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คำถาม)</w:t>
      </w:r>
    </w:p>
    <w:p w14:paraId="5C6CE3CA" w14:textId="77777777" w:rsidR="00C66092" w:rsidRPr="00C66092" w:rsidRDefault="00C66092" w:rsidP="00C66092">
      <w:pPr>
        <w:ind w:firstLine="72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คำถาม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จากบทความข้างต้น ถ้า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คนไทยบริโภคผัก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ประมาณร้อยละ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18 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จะทำให้คนไทยมีสุขภาพดี นักเรียนเห็นด้วยหรือไม่ เพราะเหตุใด</w:t>
      </w:r>
    </w:p>
    <w:p w14:paraId="586BB70A" w14:textId="77777777" w:rsidR="00C66092" w:rsidRPr="00C66092" w:rsidRDefault="00C66092" w:rsidP="00C66092">
      <w:pPr>
        <w:ind w:firstLine="720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คำตอบ </w:t>
      </w:r>
      <w:r w:rsidRPr="00C66092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ไม่เห็นด้วย เพราะ จากการสำรวจ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พบว่า</w:t>
      </w:r>
      <w:r w:rsidRPr="00C66092"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คนไทยกินผักประมาณร้อยละ 18 ทั้งเพศชาย-หญิง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br/>
        <w:t>มีเส้นรอบเอวและค่าดัชนีมวลกายเกินค่ามาตรฐาน เป็นโรคเบาหวาน ความดันโลหิตสูง และคอเลสเตอรอล</w:t>
      </w:r>
    </w:p>
    <w:p w14:paraId="3759E1BC" w14:textId="77777777" w:rsidR="00C66092" w:rsidRPr="00C66092" w:rsidRDefault="00C66092" w:rsidP="00C66092">
      <w:pPr>
        <w:spacing w:after="0" w:line="240" w:lineRule="auto"/>
        <w:ind w:left="360"/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เฉลย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/แนวคำตอบ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คำตอบที่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</w:p>
    <w:p w14:paraId="0E35C0BE" w14:textId="77777777" w:rsidR="00C66092" w:rsidRPr="00C66092" w:rsidRDefault="00C66092" w:rsidP="00C66092">
      <w:pPr>
        <w:spacing w:after="0" w:line="240" w:lineRule="auto"/>
        <w:ind w:left="36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กระบวนการอ่าน:</w:t>
      </w:r>
      <w:r w:rsidRPr="00C66092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3F2FEB87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สถานการณ์:</w:t>
      </w: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2C6B5DDB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แหล่งที่มา:</w:t>
      </w: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เนื้อเรื่องเดียว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  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ab/>
      </w:r>
    </w:p>
    <w:p w14:paraId="2DFC5CCC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แบบต่อเนื่อง</w:t>
      </w:r>
    </w:p>
    <w:p w14:paraId="4580C777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  </w:t>
      </w:r>
    </w:p>
    <w:p w14:paraId="7870F366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ลักษณะข้อสอบ:</w:t>
      </w: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เติมคำตอบ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ตอบ</w:t>
      </w:r>
      <w:r w:rsidRPr="00C66092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เชิงซ้อน</w:t>
      </w:r>
    </w:p>
    <w:p w14:paraId="203681B9" w14:textId="77777777" w:rsidR="00C66092" w:rsidRPr="00C66092" w:rsidRDefault="00C66092" w:rsidP="00C66092">
      <w:pPr>
        <w:ind w:firstLine="360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C66092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ท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1.1,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ม.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1/2: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661B5ED0" w14:textId="77777777" w:rsidR="00C66092" w:rsidRDefault="00C66092" w:rsidP="00C66092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A7C8F8A" w14:textId="77777777" w:rsidR="00C66092" w:rsidRDefault="00C66092" w:rsidP="00C66092">
      <w:pPr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1FDCEC4" w14:textId="77777777" w:rsidR="00C66092" w:rsidRPr="00C66092" w:rsidRDefault="00C66092" w:rsidP="00C66092">
      <w:pPr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</w:pPr>
    </w:p>
    <w:p w14:paraId="43112BC7" w14:textId="77777777" w:rsidR="00C66092" w:rsidRPr="00C66092" w:rsidRDefault="00C66092" w:rsidP="00C66092">
      <w:pPr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 xml:space="preserve">คำถามที่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5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แบบเติมคำตอบแบบอิสระ (อย่างน้อย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1 </w:t>
      </w:r>
      <w:r w:rsidRPr="00C66092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คำถาม)</w:t>
      </w:r>
    </w:p>
    <w:p w14:paraId="04C93F72" w14:textId="77777777" w:rsidR="00C66092" w:rsidRPr="00C66092" w:rsidRDefault="00C66092" w:rsidP="00C66092">
      <w:pPr>
        <w:ind w:firstLine="720"/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คำถาม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เมื่อนักเรียนได้อ่านบทความวิจัยข้างต้นแล้ว นักเรียนจะแนะนำการปฏิบัติตัวเพื่อสุขภาพที่ดี ไม่ก่อให้เกิดโรคอ้วนแก่สมาชิกในครอบครัวนักเรียนอย่างไรบ้าง โปรดยกตัวอย่างให้ชัดเจน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br/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       คำตอบ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การรับประทานอาหาร โดยรับประทานครบทั้ง 5 หมู่ แต่พออิ่ม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/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การออกกำลังกายสม่ำเสมออย่างน้อยวันละ 30 นาที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>/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การดูแลรักษารูปร่าง ให้ค่าดัชนีมวลกายและเส้นรอบเอวไม่สูงเกินกว่ามาตรฐาน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br/>
        <w:t>/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การดูแลสุขภาพ โดยตรวจสุขภาพเป็นประจำทุกปี</w:t>
      </w:r>
    </w:p>
    <w:p w14:paraId="3793BD33" w14:textId="77777777" w:rsidR="00C66092" w:rsidRPr="00C66092" w:rsidRDefault="00C66092" w:rsidP="00C66092">
      <w:pPr>
        <w:spacing w:after="0" w:line="240" w:lineRule="auto"/>
        <w:ind w:left="360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เฉลย</w:t>
      </w:r>
      <w:r w:rsidRPr="00C66092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/แนวคำตอบ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คำตอบที่ </w:t>
      </w:r>
      <w:r w:rsidRPr="00C66092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</w:p>
    <w:p w14:paraId="39CE1DA0" w14:textId="77777777" w:rsidR="00C66092" w:rsidRPr="00C66092" w:rsidRDefault="00C66092" w:rsidP="00C66092">
      <w:pPr>
        <w:spacing w:after="0" w:line="240" w:lineRule="auto"/>
        <w:ind w:left="36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กระบวนการอ่าน:</w:t>
      </w:r>
      <w:r w:rsidRPr="00C66092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335363A2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สถานการณ์:</w:t>
      </w: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212215E5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แหล่งที่มา:</w:t>
      </w: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เนื้อเรื่องเดียว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  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ab/>
      </w:r>
    </w:p>
    <w:p w14:paraId="33AEB614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แบบต่อเนื่อง</w:t>
      </w:r>
    </w:p>
    <w:p w14:paraId="508BE678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  </w:t>
      </w:r>
    </w:p>
    <w:p w14:paraId="22157531" w14:textId="77777777" w:rsidR="00C66092" w:rsidRPr="00C66092" w:rsidRDefault="00C66092" w:rsidP="00C66092">
      <w:pPr>
        <w:spacing w:after="0" w:line="240" w:lineRule="auto"/>
        <w:ind w:firstLine="360"/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ลักษณะข้อสอบ:</w:t>
      </w:r>
      <w:r w:rsidRPr="00C66092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C66092"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:cs/>
          <w14:ligatures w14:val="none"/>
        </w:rPr>
        <w:t>เติมคำ</w:t>
      </w:r>
      <w:r w:rsidRPr="00C66092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ตอบ</w:t>
      </w:r>
    </w:p>
    <w:p w14:paraId="2C3DAC59" w14:textId="77777777" w:rsidR="00C66092" w:rsidRPr="00C66092" w:rsidRDefault="00C66092" w:rsidP="00C66092">
      <w:pPr>
        <w:ind w:firstLine="360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C66092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C66092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ท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1.1,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ม.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1/2: </w:t>
      </w:r>
      <w:r w:rsidRPr="00C66092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4AA10314" w14:textId="77777777" w:rsidR="002954E5" w:rsidRDefault="002954E5"/>
    <w:sectPr w:rsidR="00295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3D98"/>
    <w:multiLevelType w:val="hybridMultilevel"/>
    <w:tmpl w:val="3F8C5830"/>
    <w:lvl w:ilvl="0" w:tplc="0CB02B4A">
      <w:start w:val="1"/>
      <w:numFmt w:val="thaiLett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26E63"/>
    <w:multiLevelType w:val="hybridMultilevel"/>
    <w:tmpl w:val="28A837F8"/>
    <w:lvl w:ilvl="0" w:tplc="79BCA506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52429">
    <w:abstractNumId w:val="0"/>
  </w:num>
  <w:num w:numId="2" w16cid:durableId="167156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92"/>
    <w:rsid w:val="00044A59"/>
    <w:rsid w:val="002954E5"/>
    <w:rsid w:val="00A67DCF"/>
    <w:rsid w:val="00C66092"/>
    <w:rsid w:val="00E87839"/>
    <w:rsid w:val="00E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584A"/>
  <w15:chartTrackingRefBased/>
  <w15:docId w15:val="{E0434D22-635F-4ACE-B3F1-C26F0E13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.mahidol.ac.th/th/news/medical/12272013-1611-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ภาณุวัตร ปลั่งกลาง</dc:creator>
  <cp:keywords/>
  <dc:description/>
  <cp:lastModifiedBy>ภาณุวัตร ปลั่งกลาง</cp:lastModifiedBy>
  <cp:revision>1</cp:revision>
  <dcterms:created xsi:type="dcterms:W3CDTF">2024-12-23T06:42:00Z</dcterms:created>
  <dcterms:modified xsi:type="dcterms:W3CDTF">2024-12-23T06:44:00Z</dcterms:modified>
</cp:coreProperties>
</file>